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 w:ascii="方正大标宋简体" w:hAnsi="方正大标宋简体" w:eastAsia="方正大标宋简体" w:cs="方正大标宋简体"/>
          <w:b/>
          <w:color w:val="FF0000"/>
          <w:sz w:val="52"/>
          <w:szCs w:val="52"/>
        </w:rPr>
      </w:pPr>
    </w:p>
    <w:p>
      <w:pPr>
        <w:jc w:val="center"/>
        <w:rPr>
          <w:rFonts w:hint="eastAsia" w:ascii="方正大标宋简体" w:hAnsi="方正大标宋简体" w:eastAsia="方正大标宋简体" w:cs="方正大标宋简体"/>
          <w:b/>
          <w:color w:val="FF0000"/>
          <w:sz w:val="52"/>
          <w:szCs w:val="52"/>
        </w:rPr>
      </w:pPr>
      <w:r>
        <w:rPr>
          <w:rFonts w:hint="eastAsia" w:ascii="方正大标宋简体" w:hAnsi="方正大标宋简体" w:eastAsia="方正大标宋简体" w:cs="方正大标宋简体"/>
          <w:b/>
          <w:color w:val="FF0000"/>
          <w:sz w:val="52"/>
          <w:szCs w:val="52"/>
        </w:rPr>
        <w:t>关于召开2015年京津冀地区病理</w:t>
      </w:r>
    </w:p>
    <w:p>
      <w:pPr>
        <w:jc w:val="center"/>
        <w:rPr>
          <w:rFonts w:hint="eastAsia" w:ascii="微软雅黑" w:hAnsi="微软雅黑" w:eastAsia="微软雅黑"/>
          <w:b/>
          <w:color w:val="FF0000"/>
          <w:sz w:val="52"/>
          <w:szCs w:val="52"/>
        </w:rPr>
      </w:pPr>
      <w:r>
        <w:rPr>
          <w:rFonts w:hint="eastAsia" w:ascii="方正大标宋简体" w:hAnsi="方正大标宋简体" w:eastAsia="方正大标宋简体" w:cs="方正大标宋简体"/>
          <w:b/>
          <w:color w:val="FF0000"/>
          <w:sz w:val="52"/>
          <w:szCs w:val="52"/>
        </w:rPr>
        <w:t>年会的第一轮通知</w:t>
      </w:r>
    </w:p>
    <w:p>
      <w:pPr>
        <w:jc w:val="center"/>
        <w:rPr>
          <w:sz w:val="24"/>
        </w:rPr>
      </w:pPr>
    </w:p>
    <w:p>
      <w:pPr>
        <w:jc w:val="center"/>
        <w:rPr>
          <w:sz w:val="24"/>
        </w:rPr>
      </w:pPr>
    </w:p>
    <w:p>
      <w:pPr>
        <w:spacing w:line="360" w:lineRule="auto"/>
        <w:ind w:firstLine="480" w:firstLineChars="200"/>
        <w:jc w:val="left"/>
        <w:rPr>
          <w:sz w:val="24"/>
        </w:rPr>
      </w:pPr>
      <w:r>
        <w:rPr>
          <w:rFonts w:hint="eastAsia"/>
          <w:sz w:val="24"/>
        </w:rPr>
        <w:t>根据国家北京、天津及河北一体化发展战略的需要，为推动三地病理学学术的交流，了解国际病理诊断新进展，由北京市医学会病理专业委员会、北京市病理质量控制和改进中心、北京病理医师协会、天津市医学会病理专业委员会、天津市病理质控中心、河北省医学会病理专业委员会及北京协和医院病理科共同主办的2015年京津冀病理年会即将召开。</w:t>
      </w:r>
    </w:p>
    <w:p>
      <w:pPr>
        <w:spacing w:line="360" w:lineRule="auto"/>
        <w:ind w:firstLine="480" w:firstLineChars="200"/>
        <w:jc w:val="left"/>
        <w:rPr>
          <w:sz w:val="24"/>
        </w:rPr>
      </w:pPr>
      <w:r>
        <w:rPr>
          <w:rFonts w:hint="eastAsia" w:ascii="宋体" w:hAnsi="宋体"/>
          <w:sz w:val="24"/>
        </w:rPr>
        <w:t>本次年会邀请了京津冀地区诊断经验丰富的国内知名病理学家</w:t>
      </w:r>
      <w:r>
        <w:rPr>
          <w:rFonts w:hint="eastAsia"/>
          <w:sz w:val="24"/>
        </w:rPr>
        <w:t>进行学术演讲</w:t>
      </w:r>
      <w:r>
        <w:rPr>
          <w:rFonts w:hint="eastAsia" w:ascii="宋体" w:hAnsi="宋体"/>
          <w:sz w:val="24"/>
        </w:rPr>
        <w:t>，</w:t>
      </w:r>
      <w:r>
        <w:rPr>
          <w:rFonts w:hint="eastAsia"/>
          <w:sz w:val="24"/>
        </w:rPr>
        <w:t>会议主题是：新版WHO肺纵隔肿瘤解读、肺部肿瘤的冰冻诊断特点、肺纵隔肿瘤、肺部肿瘤影像学特点、间皮瘤病理诊断及新进展、胸水细胞学等、并选取多例经典和疑难病例进行讨论。正式注册的参会人员可获得北京市继续教育学分。</w:t>
      </w:r>
    </w:p>
    <w:p>
      <w:pPr>
        <w:spacing w:line="360" w:lineRule="auto"/>
        <w:ind w:firstLine="480"/>
        <w:rPr>
          <w:rFonts w:hint="eastAsia" w:ascii="宋体" w:hAnsi="宋体"/>
          <w:b/>
          <w:sz w:val="24"/>
        </w:rPr>
      </w:pPr>
    </w:p>
    <w:p>
      <w:pPr>
        <w:spacing w:line="360" w:lineRule="auto"/>
        <w:ind w:firstLine="480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参会人员：</w:t>
      </w:r>
      <w:r>
        <w:rPr>
          <w:rFonts w:hint="eastAsia" w:ascii="宋体" w:hAnsi="宋体"/>
          <w:sz w:val="24"/>
        </w:rPr>
        <w:t>从事诊断病理工作的专业人员及临床相关学科人员，主要以京津冀地区病理从业人员为主。</w:t>
      </w:r>
    </w:p>
    <w:p>
      <w:pPr>
        <w:spacing w:line="360" w:lineRule="auto"/>
        <w:ind w:firstLine="480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注册费及住宿</w:t>
      </w:r>
      <w:r>
        <w:rPr>
          <w:rFonts w:hint="eastAsia" w:ascii="宋体" w:hAnsi="宋体"/>
          <w:sz w:val="24"/>
        </w:rPr>
        <w:t>：会议免注册费，住宿和交通费用自理。</w:t>
      </w:r>
    </w:p>
    <w:p>
      <w:pPr>
        <w:spacing w:line="360" w:lineRule="auto"/>
        <w:ind w:firstLine="480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会议时间：2015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b/>
          <w:sz w:val="24"/>
          <w:lang w:val="en-US" w:eastAsia="zh-CN"/>
        </w:rPr>
        <w:t>11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b/>
          <w:sz w:val="24"/>
          <w:lang w:val="en-US" w:eastAsia="zh-CN"/>
        </w:rPr>
        <w:t>22</w:t>
      </w:r>
      <w:r>
        <w:rPr>
          <w:rFonts w:hint="eastAsia" w:ascii="宋体" w:hAnsi="宋体"/>
          <w:sz w:val="24"/>
        </w:rPr>
        <w:t>日（星期</w:t>
      </w:r>
      <w:r>
        <w:rPr>
          <w:rFonts w:hint="eastAsia" w:ascii="宋体" w:hAnsi="宋体"/>
          <w:sz w:val="24"/>
          <w:lang w:eastAsia="zh-CN"/>
        </w:rPr>
        <w:t>日</w:t>
      </w:r>
      <w:r>
        <w:rPr>
          <w:rFonts w:hint="eastAsia" w:ascii="宋体" w:hAnsi="宋体"/>
          <w:sz w:val="24"/>
        </w:rPr>
        <w:t>）全天</w:t>
      </w:r>
      <w:r>
        <w:rPr>
          <w:rFonts w:hint="eastAsia" w:ascii="宋体" w:hAnsi="宋体"/>
          <w:sz w:val="24"/>
          <w:lang w:eastAsia="zh-CN"/>
        </w:rPr>
        <w:t>。</w:t>
      </w:r>
    </w:p>
    <w:p>
      <w:pPr>
        <w:spacing w:line="360" w:lineRule="auto"/>
        <w:ind w:firstLine="480"/>
        <w:rPr>
          <w:sz w:val="24"/>
        </w:rPr>
      </w:pPr>
      <w:r>
        <w:rPr>
          <w:rFonts w:hint="eastAsia" w:ascii="宋体" w:hAnsi="宋体"/>
          <w:b/>
          <w:sz w:val="24"/>
        </w:rPr>
        <w:t>会议地点</w:t>
      </w:r>
      <w:r>
        <w:rPr>
          <w:rFonts w:hint="eastAsia" w:ascii="宋体" w:hAnsi="宋体"/>
          <w:sz w:val="24"/>
        </w:rPr>
        <w:t>：</w:t>
      </w:r>
      <w:r>
        <w:rPr>
          <w:rFonts w:hint="eastAsia"/>
          <w:sz w:val="24"/>
        </w:rPr>
        <w:t>北京协和医院学术会堂。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</w:rPr>
      </w:pPr>
      <w:r>
        <w:rPr>
          <w:rFonts w:hint="eastAsia"/>
          <w:b/>
          <w:sz w:val="24"/>
        </w:rPr>
        <w:t>联系人：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周炜洵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 电话：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13641186839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电子邮箱：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</w:rPr>
        <w:fldChar w:fldCharType="begin"/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</w:rPr>
        <w:instrText xml:space="preserve"> HYPERLINK "mailto:zweixun@163.com" </w:instrTex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</w:rPr>
        <w:fldChar w:fldCharType="separate"/>
      </w:r>
      <w:r>
        <w:rPr>
          <w:rStyle w:val="7"/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</w:rPr>
        <w:t>zweixun@163.com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</w:rPr>
        <w:fldChar w:fldCharType="end"/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游燕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电话：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13810006672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电子邮箱：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</w:rPr>
        <w:t>youyan@pumch.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</w:rPr>
        <w:t>cn</w:t>
      </w:r>
    </w:p>
    <w:p>
      <w:pPr>
        <w:spacing w:line="360" w:lineRule="auto"/>
        <w:ind w:firstLine="487" w:firstLineChars="202"/>
        <w:rPr>
          <w:rFonts w:hint="eastAsia"/>
          <w:b w:val="0"/>
          <w:bCs w:val="0"/>
          <w:color w:val="000000"/>
          <w:sz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李强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电话：15201573782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电子邮箱：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</w:rPr>
        <w:instrText xml:space="preserve"> HYPERLINK "mailto:bjblzk01@sina.com" </w:instrTex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</w:rPr>
        <w:fldChar w:fldCharType="separate"/>
      </w:r>
      <w:r>
        <w:rPr>
          <w:rStyle w:val="7"/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</w:rPr>
        <w:t>bjblzk01@sina.com</w:t>
      </w:r>
      <w:r>
        <w:rPr>
          <w:rStyle w:val="7"/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</w:rPr>
        <w:fldChar w:fldCharType="end"/>
      </w:r>
    </w:p>
    <w:p>
      <w:pPr>
        <w:spacing w:line="360" w:lineRule="auto"/>
        <w:jc w:val="both"/>
        <w:rPr>
          <w:rFonts w:hint="eastAsia" w:ascii="宋体" w:hAnsi="宋体"/>
          <w:sz w:val="24"/>
        </w:rPr>
      </w:pPr>
    </w:p>
    <w:p>
      <w:pPr>
        <w:spacing w:line="360" w:lineRule="auto"/>
        <w:jc w:val="both"/>
        <w:rPr>
          <w:rFonts w:hint="eastAsia"/>
          <w:sz w:val="24"/>
        </w:rPr>
      </w:pPr>
      <w:r>
        <w:rPr>
          <w:rFonts w:hint="eastAsia" w:ascii="宋体" w:hAnsi="宋体"/>
          <w:sz w:val="24"/>
        </w:rPr>
        <w:t>附件1：参加会议人员报名表</w:t>
      </w:r>
      <w:r>
        <w:rPr>
          <w:rFonts w:hint="eastAsia" w:ascii="宋体" w:hAnsi="宋体"/>
          <w:sz w:val="24"/>
          <w:lang w:eastAsia="zh-CN"/>
        </w:rPr>
        <w:t>，报名表统一回复“</w:t>
      </w:r>
      <w:r>
        <w:rPr>
          <w:rFonts w:hint="eastAsia"/>
          <w:sz w:val="24"/>
        </w:rPr>
        <w:t>bjblzk01@sina.com</w:t>
      </w:r>
      <w:r>
        <w:rPr>
          <w:rFonts w:hint="eastAsia"/>
          <w:sz w:val="24"/>
          <w:lang w:eastAsia="zh-CN"/>
        </w:rPr>
        <w:t>”邮箱中，如已回复报名表单位无需回复</w:t>
      </w:r>
      <w:r>
        <w:rPr>
          <w:rFonts w:hint="eastAsia" w:ascii="宋体" w:hAnsi="宋体"/>
          <w:sz w:val="24"/>
          <w:lang w:eastAsia="zh-CN"/>
        </w:rPr>
        <w:t>。</w:t>
      </w:r>
    </w:p>
    <w:p>
      <w:pPr>
        <w:spacing w:line="360" w:lineRule="auto"/>
        <w:jc w:val="left"/>
        <w:rPr>
          <w:rFonts w:hint="eastAsia" w:ascii="宋体" w:hAnsi="宋体"/>
          <w:sz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spacing w:line="360" w:lineRule="auto"/>
        <w:jc w:val="center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color w:val="FF0000"/>
          <w:kern w:val="0"/>
          <w:sz w:val="36"/>
          <w:szCs w:val="36"/>
          <w:u w:val="none"/>
          <w:lang w:val="en-US" w:eastAsia="zh-CN" w:bidi="ar"/>
        </w:rPr>
        <w:t>2015年京津冀地区病理年会日程安排</w:t>
      </w:r>
      <w:r>
        <w:rPr>
          <w:rStyle w:val="14"/>
          <w:lang w:val="en-US" w:eastAsia="zh-CN" w:bidi="ar"/>
        </w:rPr>
        <w:br w:type="textWrapping"/>
      </w:r>
      <w:r>
        <w:rPr>
          <w:rStyle w:val="15"/>
          <w:lang w:val="en-US" w:eastAsia="zh-CN" w:bidi="ar"/>
        </w:rPr>
        <w:t>（2015.11.22）</w:t>
      </w:r>
    </w:p>
    <w:tbl>
      <w:tblPr>
        <w:tblStyle w:val="8"/>
        <w:tblW w:w="14520" w:type="dxa"/>
        <w:jc w:val="center"/>
        <w:tblInd w:w="60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20"/>
        <w:gridCol w:w="5970"/>
        <w:gridCol w:w="60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会议内容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主讲人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FF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8:00  开始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FF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      到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FFCC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D9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8:30 — 9:00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D9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开      幕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D966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第一场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主持人：梁智勇教授   张祥宏教授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9:00 — 9:20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从WHO肿瘤分类看疾病概念的变化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陈杰教授       北京协和医院病理科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9:20 — 9:40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肺癌结节的CT与病理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陈起航教授     北京医院放射科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9:40 — 10:00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肉芽肿性肺疾病的病理诊断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冯瑞娥教授     北京协和医院病理科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10:00 — 10:30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讨       论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10:30 — 10:50</w:t>
            </w:r>
          </w:p>
        </w:tc>
        <w:tc>
          <w:tcPr>
            <w:tcW w:w="12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茶       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第二场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主持人：沈丹华教授</w:t>
            </w:r>
            <w:r>
              <w:rPr>
                <w:rStyle w:val="16"/>
                <w:lang w:val="en-US" w:eastAsia="zh-CN" w:bidi="ar"/>
              </w:rPr>
              <w:t>教</w:t>
            </w:r>
            <w:r>
              <w:rPr>
                <w:rStyle w:val="17"/>
                <w:lang w:val="en-US" w:eastAsia="zh-CN" w:bidi="ar"/>
              </w:rPr>
              <w:t xml:space="preserve">  孙保存教授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10:50 — 11:10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肺部疾病术中冰冻诊断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卢朝辉教授     北京协和医院病理科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11:10 — 11:30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恶性间皮瘤的诊断及新进展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崔全才教授     北京协和医院病理科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11:30 — 11:50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胸腔积液细胞学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潘秦镜教授     中国医科院肿瘤医院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11:50 — 12:20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讨      论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12:20 — 13:30</w:t>
            </w:r>
          </w:p>
        </w:tc>
        <w:tc>
          <w:tcPr>
            <w:tcW w:w="12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午       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第三场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主持人：刘东戈教授   吕宁教授   郑杰教授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13:30 — 13:50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肺癌的分类变化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笪冀平教授     北京中日友好医院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13:50 — 14:10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肺癌分子病理检测进展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应建明教授     中国医科院肿瘤医院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14:10 — 14:30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纵隔上皮性肿瘤解读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刘月平教授     河北医大病理科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14:30 — 14:50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讨      论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第四场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主持人：刘洪刚教授    于士柱教授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14:50 — 15:10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病理学诊断结核病研究应用进展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车南颖教授     北京胸科医院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15:10 — 15:30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讨论病例：1、肺疑难病例讨论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北京协和医院病理科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15:30 — 15:50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讨论病例：2、肺疑难病例讨论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天津肿瘤医院病理科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jc w:val="center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D9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15:50 — 16:00</w:t>
            </w:r>
          </w:p>
        </w:tc>
        <w:tc>
          <w:tcPr>
            <w:tcW w:w="5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D9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闭      幕</w:t>
            </w:r>
          </w:p>
        </w:tc>
        <w:tc>
          <w:tcPr>
            <w:tcW w:w="6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D966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spacing w:line="360" w:lineRule="auto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6290310</wp:posOffset>
            </wp:positionH>
            <wp:positionV relativeFrom="paragraph">
              <wp:posOffset>10160</wp:posOffset>
            </wp:positionV>
            <wp:extent cx="3301365" cy="1707515"/>
            <wp:effectExtent l="0" t="0" r="13335" b="6985"/>
            <wp:wrapThrough wrapText="bothSides">
              <wp:wrapPolygon>
                <wp:start x="0" y="0"/>
                <wp:lineTo x="0" y="21447"/>
                <wp:lineTo x="21551" y="21447"/>
                <wp:lineTo x="21551" y="0"/>
                <wp:lineTo x="0" y="0"/>
              </wp:wrapPolygon>
            </wp:wrapThrough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4">
                      <a:lum/>
                    </a:blip>
                    <a:srcRect l="37354"/>
                    <a:stretch>
                      <a:fillRect/>
                    </a:stretch>
                  </pic:blipFill>
                  <pic:spPr>
                    <a:xfrm>
                      <a:off x="0" y="0"/>
                      <a:ext cx="3301365" cy="170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i w:val="0"/>
          <w:color w:val="000000"/>
          <w:kern w:val="0"/>
          <w:sz w:val="22"/>
          <w:szCs w:val="22"/>
          <w:u w:val="none"/>
          <w:lang w:val="en-US" w:eastAsia="zh-CN" w:bidi="ar"/>
        </w:rPr>
        <w:t xml:space="preserve">     *地点：北京协和医院学术会堂（北京市东城区  北京协和医院西门对面【近王府井全聚德烤鸭店】）</w:t>
      </w:r>
    </w:p>
    <w:p>
      <w:pPr>
        <w:spacing w:line="360" w:lineRule="auto"/>
        <w:jc w:val="left"/>
        <w:rPr>
          <w:rFonts w:hint="eastAsia" w:ascii="宋体" w:hAnsi="宋体"/>
          <w:sz w:val="24"/>
        </w:rPr>
      </w:pPr>
      <w:bookmarkStart w:id="0" w:name="_GoBack"/>
      <w:bookmarkEnd w:id="0"/>
    </w:p>
    <w:p>
      <w:pPr>
        <w:spacing w:line="360" w:lineRule="auto"/>
        <w:jc w:val="left"/>
        <w:rPr>
          <w:rFonts w:hint="eastAsia" w:ascii="宋体" w:hAnsi="宋体"/>
          <w:sz w:val="24"/>
        </w:rPr>
      </w:pPr>
    </w:p>
    <w:p>
      <w:pPr>
        <w:spacing w:line="360" w:lineRule="auto"/>
        <w:jc w:val="left"/>
        <w:rPr>
          <w:rFonts w:hint="eastAsia" w:ascii="宋体" w:hAnsi="宋体"/>
          <w:sz w:val="24"/>
        </w:rPr>
      </w:pPr>
    </w:p>
    <w:p>
      <w:pPr>
        <w:spacing w:line="360" w:lineRule="auto"/>
        <w:jc w:val="left"/>
        <w:rPr>
          <w:rFonts w:hint="eastAsia" w:ascii="宋体" w:hAnsi="宋体"/>
          <w:sz w:val="24"/>
        </w:rPr>
        <w:sectPr>
          <w:pgSz w:w="16838" w:h="11906" w:orient="landscape"/>
          <w:pgMar w:top="567" w:right="567" w:bottom="567" w:left="567" w:header="851" w:footer="992" w:gutter="0"/>
          <w:cols w:space="720" w:num="1"/>
          <w:docGrid w:type="lines" w:linePitch="312" w:charSpace="0"/>
        </w:sectPr>
      </w:pPr>
    </w:p>
    <w:tbl>
      <w:tblPr>
        <w:tblStyle w:val="9"/>
        <w:tblpPr w:leftFromText="180" w:rightFromText="180" w:vertAnchor="page" w:horzAnchor="page" w:tblpXSpec="center" w:tblpY="2168"/>
        <w:tblW w:w="141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8"/>
        <w:gridCol w:w="999"/>
        <w:gridCol w:w="1551"/>
        <w:gridCol w:w="1396"/>
        <w:gridCol w:w="2340"/>
        <w:gridCol w:w="2342"/>
        <w:gridCol w:w="45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  <w:jc w:val="center"/>
        </w:trPr>
        <w:tc>
          <w:tcPr>
            <w:tcW w:w="14160" w:type="dxa"/>
            <w:gridSpan w:val="7"/>
            <w:tcBorders>
              <w:top w:val="single" w:color="4BACC6" w:sz="8" w:space="0"/>
              <w:left w:val="single" w:color="4BACC6" w:sz="8" w:space="0"/>
              <w:bottom w:val="single" w:color="FFFFFF" w:sz="12" w:space="0"/>
              <w:right w:val="single" w:color="4BACC6" w:sz="8" w:space="0"/>
            </w:tcBorders>
            <w:shd w:val="clear" w:color="auto" w:fill="4BACC6"/>
            <w:vAlign w:val="top"/>
          </w:tcPr>
          <w:p>
            <w:pPr>
              <w:spacing w:line="720" w:lineRule="auto"/>
              <w:jc w:val="left"/>
              <w:rPr>
                <w:color w:va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/>
                <w:sz w:val="32"/>
                <w:szCs w:val="32"/>
                <w:lang w:eastAsia="zh-CN"/>
              </w:rPr>
              <w:t>单位</w:t>
            </w:r>
            <w:r>
              <w:rPr>
                <w:rFonts w:hint="eastAsia" w:ascii="宋体" w:hAnsi="宋体" w:eastAsia="宋体" w:cs="宋体"/>
                <w:b/>
                <w:bCs/>
                <w:color w:val="FFFFFF"/>
                <w:sz w:val="32"/>
                <w:szCs w:val="32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b/>
                <w:bCs/>
                <w:color w:val="FFFFFF"/>
                <w:sz w:val="32"/>
                <w:szCs w:val="32"/>
              </w:rPr>
              <w:t>医院名称：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998" w:type="dxa"/>
            <w:tcBorders>
              <w:top w:val="single" w:color="FFFFFF" w:sz="12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color w:val="000000"/>
                <w:sz w:val="28"/>
                <w:szCs w:val="28"/>
                <w:lang w:eastAsia="zh-CN"/>
              </w:rPr>
              <w:t>序号</w:t>
            </w:r>
          </w:p>
        </w:tc>
        <w:tc>
          <w:tcPr>
            <w:tcW w:w="999" w:type="dxa"/>
            <w:tcBorders>
              <w:top w:val="single" w:color="FFFFFF" w:sz="12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jc w:val="center"/>
              <w:rPr>
                <w:rFonts w:hint="eastAsia" w:eastAsia="宋体"/>
                <w:b/>
                <w:bCs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color w:val="000000"/>
                <w:sz w:val="28"/>
                <w:szCs w:val="28"/>
                <w:lang w:eastAsia="zh-CN"/>
              </w:rPr>
              <w:t>姓名</w:t>
            </w:r>
          </w:p>
        </w:tc>
        <w:tc>
          <w:tcPr>
            <w:tcW w:w="1551" w:type="dxa"/>
            <w:tcBorders>
              <w:top w:val="single" w:color="FFFFFF" w:sz="12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1396" w:type="dxa"/>
            <w:tcBorders>
              <w:top w:val="single" w:color="FFFFFF" w:sz="12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000000"/>
                <w:sz w:val="28"/>
                <w:szCs w:val="28"/>
              </w:rPr>
              <w:t>年龄</w:t>
            </w:r>
          </w:p>
        </w:tc>
        <w:tc>
          <w:tcPr>
            <w:tcW w:w="2340" w:type="dxa"/>
            <w:tcBorders>
              <w:top w:val="single" w:color="FFFFFF" w:sz="12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000000"/>
                <w:sz w:val="28"/>
                <w:szCs w:val="28"/>
              </w:rPr>
              <w:t>职称</w:t>
            </w:r>
          </w:p>
        </w:tc>
        <w:tc>
          <w:tcPr>
            <w:tcW w:w="2342" w:type="dxa"/>
            <w:tcBorders>
              <w:top w:val="single" w:color="FFFFFF" w:sz="12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4534" w:type="dxa"/>
            <w:tcBorders>
              <w:top w:val="single" w:color="FFFFFF" w:sz="12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000000"/>
                <w:sz w:val="28"/>
                <w:szCs w:val="28"/>
              </w:rPr>
              <w:t>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998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999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551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396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340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342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4534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998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999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396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2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998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999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396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2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998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999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396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2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998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999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396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2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998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999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396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2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998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999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396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2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FFFFFF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998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999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396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42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single" w:color="4BACC6" w:sz="8" w:space="0"/>
              <w:left w:val="single" w:color="4BACC6" w:sz="8" w:space="0"/>
              <w:bottom w:val="single" w:color="4BACC6" w:sz="8" w:space="0"/>
              <w:right w:val="single" w:color="4BACC6" w:sz="8" w:space="0"/>
            </w:tcBorders>
            <w:shd w:val="clear" w:color="auto" w:fill="B7DDE8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</w:tbl>
    <w:p>
      <w:pPr>
        <w:spacing w:line="360" w:lineRule="auto"/>
        <w:jc w:val="left"/>
        <w:rPr>
          <w:rFonts w:hint="eastAsia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</w:rPr>
        <w:t>附件1</w:t>
      </w:r>
    </w:p>
    <w:sectPr>
      <w:pgSz w:w="16838" w:h="11906" w:orient="landscape"/>
      <w:pgMar w:top="1803" w:right="1440" w:bottom="1803" w:left="1440" w:header="851" w:footer="992" w:gutter="0"/>
      <w:paperSrc/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modern"/>
    <w:pitch w:val="default"/>
    <w:sig w:usb0="A00002EF" w:usb1="4000207B" w:usb2="00000000" w:usb3="00000000" w:csb0="2000019F" w:csb1="00000000"/>
  </w:font>
  <w:font w:name="方正宋黑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文鼎小标宋简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书体坊赵九江钢笔行书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书体坊郭小语钢笔楷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书体坊雪纯体3500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书体坊安景臣钢笔行书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文鼎新中黑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新藝體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火柴體">
    <w:panose1 w:val="020B0609010101010101"/>
    <w:charset w:val="88"/>
    <w:family w:val="auto"/>
    <w:pitch w:val="default"/>
    <w:sig w:usb0="00001F41" w:usb1="28091800" w:usb2="00000000" w:usb3="00000000" w:csb0="00100000" w:csb1="00000000"/>
  </w:font>
  <w:font w:name="文鼎特粗宋简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特粗黑简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特黑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竹子體">
    <w:panose1 w:val="020B0602010101010101"/>
    <w:charset w:val="88"/>
    <w:family w:val="auto"/>
    <w:pitch w:val="default"/>
    <w:sig w:usb0="00000003" w:usb1="28880000" w:usb2="00000006" w:usb3="00000000" w:csb0="00100000" w:csb1="00000000"/>
  </w:font>
  <w:font w:name="文鼎粗明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行楷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行楷简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鋼筆行楷">
    <w:panose1 w:val="02010609010101010101"/>
    <w:charset w:val="88"/>
    <w:family w:val="auto"/>
    <w:pitch w:val="default"/>
    <w:sig w:usb0="00001F41" w:usb1="28091800" w:usb2="00000000" w:usb3="00000000" w:csb0="00100000" w:csb1="00000000"/>
  </w:font>
  <w:font w:name="文鼎粗魏碑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黑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黑繁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細鋼筆行楷">
    <w:panose1 w:val="02010609010101010101"/>
    <w:charset w:val="88"/>
    <w:family w:val="auto"/>
    <w:pitch w:val="default"/>
    <w:sig w:usb0="00001F41" w:usb1="28091800" w:usb2="00000000" w:usb3="00000000" w:csb0="00100000" w:csb1="00000000"/>
  </w:font>
  <w:font w:name="文鼎細黑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细仿宋繁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荊棘體">
    <w:panose1 w:val="02010609010101010101"/>
    <w:charset w:val="88"/>
    <w:family w:val="auto"/>
    <w:pitch w:val="default"/>
    <w:sig w:usb0="00001F41" w:usb1="28091800" w:usb2="00000000" w:usb3="00000000" w:csb0="00100000" w:csb1="00000000"/>
  </w:font>
  <w:font w:name="文鼎行楷碑體">
    <w:panose1 w:val="02010609010101010101"/>
    <w:charset w:val="88"/>
    <w:family w:val="auto"/>
    <w:pitch w:val="default"/>
    <w:sig w:usb0="00001F41" w:usb1="28091800" w:usb2="00000000" w:usb3="00000000" w:csb0="00100000" w:csb1="00000000"/>
  </w:font>
  <w:font w:name="文鼎誰的字體">
    <w:panose1 w:val="02010609010101010101"/>
    <w:charset w:val="88"/>
    <w:family w:val="auto"/>
    <w:pitch w:val="default"/>
    <w:sig w:usb0="00001F41" w:usb1="28091800" w:usb2="00000000" w:usb3="00000000" w:csb0="00100000" w:csb1="00000000"/>
  </w:font>
  <w:font w:name="文鼎超黑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超圓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方正综艺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综艺繁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美黑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综艺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细黑一繁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细黑一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细黑一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细等线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细珊瑚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细珊瑚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粗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细圆繁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隶二繁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魏碑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魏碑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魏碑繁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少儿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少儿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篆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繁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文鼎书宋繁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書法家秀隸體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書法家秀宋體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書法家秀仿宋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書法家疊圓體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mail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decorative"/>
    <w:pitch w:val="default"/>
    <w:sig w:usb0="A00002EF" w:usb1="4000207B" w:usb2="00000000" w:usb3="00000000" w:csb0="2000019F" w:csb1="00000000"/>
  </w:font>
  <w:font w:name="Calibri Light">
    <w:panose1 w:val="020F0302020204030204"/>
    <w:charset w:val="00"/>
    <w:family w:val="roman"/>
    <w:pitch w:val="default"/>
    <w:sig w:usb0="A00002EF" w:usb1="4000207B" w:usb2="00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759C7"/>
    <w:rsid w:val="00011AE9"/>
    <w:rsid w:val="00021F6B"/>
    <w:rsid w:val="00055425"/>
    <w:rsid w:val="0007331C"/>
    <w:rsid w:val="00074AB1"/>
    <w:rsid w:val="00116484"/>
    <w:rsid w:val="001643E4"/>
    <w:rsid w:val="001C0F94"/>
    <w:rsid w:val="001C5A16"/>
    <w:rsid w:val="003209F2"/>
    <w:rsid w:val="0036431E"/>
    <w:rsid w:val="00373E71"/>
    <w:rsid w:val="00432247"/>
    <w:rsid w:val="004C1DA3"/>
    <w:rsid w:val="004E37DC"/>
    <w:rsid w:val="005824C7"/>
    <w:rsid w:val="005901ED"/>
    <w:rsid w:val="00596FC8"/>
    <w:rsid w:val="005D3A05"/>
    <w:rsid w:val="006F44AA"/>
    <w:rsid w:val="00735F3D"/>
    <w:rsid w:val="00763893"/>
    <w:rsid w:val="007A5F0C"/>
    <w:rsid w:val="007F4CF3"/>
    <w:rsid w:val="007F74CF"/>
    <w:rsid w:val="008358A1"/>
    <w:rsid w:val="008759C7"/>
    <w:rsid w:val="008A71A8"/>
    <w:rsid w:val="008E02E6"/>
    <w:rsid w:val="008E5A16"/>
    <w:rsid w:val="009347FE"/>
    <w:rsid w:val="0096413D"/>
    <w:rsid w:val="009A6C2D"/>
    <w:rsid w:val="00AA749F"/>
    <w:rsid w:val="00AC1ABF"/>
    <w:rsid w:val="00B30615"/>
    <w:rsid w:val="00B67689"/>
    <w:rsid w:val="00B75F18"/>
    <w:rsid w:val="00BF7AF6"/>
    <w:rsid w:val="00C05C4F"/>
    <w:rsid w:val="00C20FDF"/>
    <w:rsid w:val="00C733BF"/>
    <w:rsid w:val="00CB4806"/>
    <w:rsid w:val="00CD5103"/>
    <w:rsid w:val="00CD5C72"/>
    <w:rsid w:val="00D652B7"/>
    <w:rsid w:val="00DC623F"/>
    <w:rsid w:val="00DF16D8"/>
    <w:rsid w:val="00E00C6E"/>
    <w:rsid w:val="00E420DF"/>
    <w:rsid w:val="00E9380C"/>
    <w:rsid w:val="00EA489F"/>
    <w:rsid w:val="00EC649D"/>
    <w:rsid w:val="00ED5CEC"/>
    <w:rsid w:val="00EF0A3E"/>
    <w:rsid w:val="00F4225F"/>
    <w:rsid w:val="01D427CA"/>
    <w:rsid w:val="0235156A"/>
    <w:rsid w:val="0A655CEE"/>
    <w:rsid w:val="29B042F2"/>
    <w:rsid w:val="361529C8"/>
    <w:rsid w:val="4E594017"/>
    <w:rsid w:val="5647762D"/>
    <w:rsid w:val="65DC302A"/>
    <w:rsid w:val="67E7654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99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Date"/>
    <w:basedOn w:val="1"/>
    <w:next w:val="1"/>
    <w:link w:val="13"/>
    <w:unhideWhenUsed/>
    <w:uiPriority w:val="99"/>
    <w:pPr>
      <w:ind w:left="100" w:leftChars="2500"/>
    </w:pPr>
  </w:style>
  <w:style w:type="paragraph" w:styleId="3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 w:line="300" w:lineRule="atLeast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unhideWhenUsed/>
    <w:uiPriority w:val="0"/>
    <w:rPr>
      <w:color w:val="0000FF"/>
      <w:u w:val="single"/>
    </w:rPr>
  </w:style>
  <w:style w:type="table" w:styleId="9">
    <w:name w:val="Table Grid"/>
    <w:basedOn w:val="8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0">
    <w:name w:val="List Paragraph"/>
    <w:basedOn w:val="1"/>
    <w:qFormat/>
    <w:uiPriority w:val="34"/>
    <w:pPr>
      <w:ind w:firstLine="420" w:firstLineChars="200"/>
    </w:pPr>
    <w:rPr>
      <w:rFonts w:ascii="Calibri" w:hAnsi="Calibri" w:eastAsia="宋体"/>
      <w:szCs w:val="22"/>
    </w:rPr>
  </w:style>
  <w:style w:type="character" w:customStyle="1" w:styleId="11">
    <w:name w:val="页眉 Char"/>
    <w:basedOn w:val="6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脚 Char"/>
    <w:basedOn w:val="6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日期 Char"/>
    <w:basedOn w:val="6"/>
    <w:link w:val="2"/>
    <w:semiHidden/>
    <w:uiPriority w:val="99"/>
    <w:rPr>
      <w:rFonts w:ascii="Times New Roman" w:hAnsi="Times New Roman" w:eastAsia="宋体" w:cs="Times New Roman"/>
      <w:szCs w:val="24"/>
    </w:rPr>
  </w:style>
  <w:style w:type="character" w:customStyle="1" w:styleId="14">
    <w:name w:val="font31"/>
    <w:basedOn w:val="6"/>
    <w:qFormat/>
    <w:uiPriority w:val="0"/>
    <w:rPr>
      <w:rFonts w:hint="eastAsia" w:ascii="方正小标宋简体" w:hAnsi="方正小标宋简体" w:eastAsia="方正小标宋简体" w:cs="方正小标宋简体"/>
      <w:color w:val="FF0000"/>
      <w:sz w:val="44"/>
      <w:szCs w:val="44"/>
      <w:u w:val="none"/>
    </w:rPr>
  </w:style>
  <w:style w:type="character" w:customStyle="1" w:styleId="15">
    <w:name w:val="font41"/>
    <w:basedOn w:val="6"/>
    <w:qFormat/>
    <w:uiPriority w:val="0"/>
    <w:rPr>
      <w:rFonts w:hint="eastAsia" w:ascii="方正小标宋简体" w:hAnsi="方正小标宋简体" w:eastAsia="方正小标宋简体" w:cs="方正小标宋简体"/>
      <w:color w:val="FF0000"/>
      <w:sz w:val="20"/>
      <w:szCs w:val="20"/>
      <w:u w:val="none"/>
    </w:rPr>
  </w:style>
  <w:style w:type="character" w:customStyle="1" w:styleId="16">
    <w:name w:val="font101"/>
    <w:basedOn w:val="6"/>
    <w:uiPriority w:val="0"/>
    <w:rPr>
      <w:rFonts w:hint="eastAsia" w:ascii="宋体" w:hAnsi="宋体" w:eastAsia="宋体" w:cs="宋体"/>
      <w:b/>
      <w:color w:val="FFFFFF"/>
      <w:sz w:val="22"/>
      <w:szCs w:val="22"/>
      <w:u w:val="none"/>
    </w:rPr>
  </w:style>
  <w:style w:type="character" w:customStyle="1" w:styleId="17">
    <w:name w:val="font91"/>
    <w:basedOn w:val="6"/>
    <w:uiPriority w:val="0"/>
    <w:rPr>
      <w:rFonts w:hint="eastAsia" w:ascii="宋体" w:hAnsi="宋体" w:eastAsia="宋体" w:cs="宋体"/>
      <w:b/>
      <w:color w:val="0000FF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147</Words>
  <Characters>844</Characters>
  <Lines>7</Lines>
  <Paragraphs>1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2015-07-20T02:17:00Z</dcterms:created>
  <dc:creator>卢朝辉</dc:creator>
  <cp:lastModifiedBy>Administrator</cp:lastModifiedBy>
  <cp:lastPrinted>2015-10-30T01:31:00Z</cp:lastPrinted>
  <dcterms:modified xsi:type="dcterms:W3CDTF">2015-11-13T08:47:03Z</dcterms:modified>
  <dc:title>关于召开2015年京津冀地区病理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